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ind w:hanging="0" w:left="0" w:right="0"/>
        <w:jc w:val="both"/>
        <w:rPr>
          <w:rFonts w:ascii="Atkinson Hyperlegible" w:hAnsi="Atkinson Hyperlegible"/>
          <w:sz w:val="24"/>
          <w:szCs w:val="24"/>
        </w:rPr>
      </w:pPr>
      <w:r>
        <w:rPr>
          <w:rFonts w:ascii="Atkinson Hyperlegible" w:hAnsi="Atkinson Hyperlegible"/>
          <w:b/>
          <w:sz w:val="24"/>
          <w:szCs w:val="24"/>
        </w:rPr>
        <w:t>Proposta de resolució del Consell d’Associacions de Barcelona davant la participació en l’espai municipal «Compromís ciutadà pel civisme»</w:t>
      </w:r>
    </w:p>
    <w:p>
      <w:pPr>
        <w:pStyle w:val="BodyText"/>
        <w:bidi w:val="0"/>
        <w:ind w:hanging="0" w:left="0" w:right="0"/>
        <w:jc w:val="both"/>
        <w:rPr>
          <w:rFonts w:ascii="Atkinson Hyperlegible" w:hAnsi="Atkinson Hyperlegible"/>
          <w:sz w:val="24"/>
          <w:szCs w:val="24"/>
        </w:rPr>
      </w:pPr>
      <w:r>
        <w:rPr>
          <w:rFonts w:ascii="Atkinson Hyperlegible" w:hAnsi="Atkinson Hyperlegible"/>
          <w:b/>
          <w:sz w:val="24"/>
          <w:szCs w:val="24"/>
        </w:rPr>
        <w:t>Presentada per: FAVB, Plataforma Festes Majors i CJB.</w:t>
      </w:r>
    </w:p>
    <w:p>
      <w:pPr>
        <w:pStyle w:val="BodyText"/>
        <w:jc w:val="both"/>
        <w:rPr>
          <w:rFonts w:ascii="Atkinson Hyperlegible" w:hAnsi="Atkinson Hyperlegible"/>
          <w:sz w:val="24"/>
          <w:szCs w:val="24"/>
        </w:rPr>
      </w:pPr>
      <w:r>
        <w:rPr>
          <w:rFonts w:ascii="Atkinson Hyperlegible" w:hAnsi="Atkinson Hyperlegible"/>
          <w:sz w:val="24"/>
          <w:szCs w:val="24"/>
        </w:rPr>
        <w:t>Davant la proposta de l'Ajuntament de Barcelona d’establir un nou «Compromís ciutadà pel civisme», el Consell d’Associacions de Barcelona (CAB) manifesta la seva voluntat de participar-hi inicialment. Tot i això, per tal que el sector associatiu s’hi senti realment interpel·lat, considerem imprescindible transcendir la visió purament normativa actual. El focus s'ha de desplaçar de la simple «cura de la ciutat» cap a un enfocament basat en els drets, el suport al teixit comunitari i la resolució social dels conflictes.</w:t>
      </w:r>
    </w:p>
    <w:p>
      <w:pPr>
        <w:pStyle w:val="BodyText"/>
        <w:jc w:val="both"/>
        <w:rPr>
          <w:rFonts w:ascii="Atkinson Hyperlegible" w:hAnsi="Atkinson Hyperlegible"/>
          <w:sz w:val="24"/>
          <w:szCs w:val="24"/>
        </w:rPr>
      </w:pPr>
      <w:r>
        <w:rPr>
          <w:rFonts w:ascii="Atkinson Hyperlegible" w:hAnsi="Atkinson Hyperlegible"/>
          <w:sz w:val="24"/>
          <w:szCs w:val="24"/>
        </w:rPr>
        <w:t>Per aquest motiu, diverses associacions hem presentat un seguit d’esmenes al document del compromís amb l’objectiu que siguin debatudes i considerades. Aquestes aportacions incideixen en quatre eixos clau:</w:t>
      </w:r>
    </w:p>
    <w:p>
      <w:pPr>
        <w:pStyle w:val="BodyText"/>
        <w:numPr>
          <w:ilvl w:val="0"/>
          <w:numId w:val="2"/>
        </w:numPr>
        <w:tabs>
          <w:tab w:val="clear" w:pos="709"/>
          <w:tab w:val="left" w:pos="0" w:leader="none"/>
        </w:tabs>
        <w:ind w:hanging="283" w:left="709"/>
        <w:jc w:val="both"/>
        <w:rPr>
          <w:rFonts w:ascii="Atkinson Hyperlegible" w:hAnsi="Atkinson Hyperlegible"/>
          <w:sz w:val="24"/>
          <w:szCs w:val="24"/>
        </w:rPr>
      </w:pPr>
      <w:r>
        <w:rPr>
          <w:rFonts w:ascii="Atkinson Hyperlegible" w:hAnsi="Atkinson Hyperlegible"/>
          <w:b/>
          <w:sz w:val="24"/>
          <w:szCs w:val="24"/>
        </w:rPr>
        <w:t>Canvi de paradigma cap a l’habitabilitat:</w:t>
      </w:r>
      <w:r>
        <w:rPr>
          <w:rFonts w:ascii="Atkinson Hyperlegible" w:hAnsi="Atkinson Hyperlegible"/>
          <w:sz w:val="24"/>
          <w:szCs w:val="24"/>
        </w:rPr>
        <w:t xml:space="preserve"> Cal deixar de centrar l'atenció en el compliment estricte de normes i l'actitud individual per redefinir l'espai públic com un lloc de vida, trobada i expressió. Reivindiquem el dret a la ciutat, la llibertat d’expressió i d’associació, evitant que les polítiques de civisme esdevinguin eines de repressió o control dels moviments socials.</w:t>
      </w:r>
    </w:p>
    <w:p>
      <w:pPr>
        <w:pStyle w:val="BodyText"/>
        <w:numPr>
          <w:ilvl w:val="0"/>
          <w:numId w:val="2"/>
        </w:numPr>
        <w:tabs>
          <w:tab w:val="clear" w:pos="709"/>
          <w:tab w:val="left" w:pos="0" w:leader="none"/>
        </w:tabs>
        <w:ind w:hanging="283" w:left="709"/>
        <w:jc w:val="both"/>
        <w:rPr>
          <w:rFonts w:ascii="Atkinson Hyperlegible" w:hAnsi="Atkinson Hyperlegible"/>
          <w:sz w:val="24"/>
          <w:szCs w:val="24"/>
        </w:rPr>
      </w:pPr>
      <w:r>
        <w:rPr>
          <w:rFonts w:ascii="Atkinson Hyperlegible" w:hAnsi="Atkinson Hyperlegible"/>
          <w:b/>
          <w:sz w:val="24"/>
          <w:szCs w:val="24"/>
        </w:rPr>
        <w:t>Reconeixement i protecció de l’activitat associativa:</w:t>
      </w:r>
      <w:r>
        <w:rPr>
          <w:rFonts w:ascii="Atkinson Hyperlegible" w:hAnsi="Atkinson Hyperlegible"/>
          <w:sz w:val="24"/>
          <w:szCs w:val="24"/>
        </w:rPr>
        <w:t xml:space="preserve"> L’acció de les entitats (com esplais, agrupaments o comissions de festes) no s'ha de percebre com un focus de conflicte, sinó com un motor essencial per a la millora de la convivència. L’Administració s’ha de comprometre amb un suport tangible que garanteixi un finançament sostenible i l’ús comunitari de l’espai públic.</w:t>
      </w:r>
    </w:p>
    <w:p>
      <w:pPr>
        <w:pStyle w:val="BodyText"/>
        <w:numPr>
          <w:ilvl w:val="0"/>
          <w:numId w:val="2"/>
        </w:numPr>
        <w:tabs>
          <w:tab w:val="clear" w:pos="709"/>
          <w:tab w:val="left" w:pos="0" w:leader="none"/>
        </w:tabs>
        <w:ind w:hanging="283" w:left="709"/>
        <w:jc w:val="both"/>
        <w:rPr>
          <w:rFonts w:ascii="Atkinson Hyperlegible" w:hAnsi="Atkinson Hyperlegible"/>
          <w:sz w:val="24"/>
          <w:szCs w:val="24"/>
        </w:rPr>
      </w:pPr>
      <w:r>
        <w:rPr>
          <w:rFonts w:ascii="Atkinson Hyperlegible" w:hAnsi="Atkinson Hyperlegible"/>
          <w:b/>
          <w:sz w:val="24"/>
          <w:szCs w:val="24"/>
        </w:rPr>
        <w:t>Seguretat comunitària vs. punitivisme:</w:t>
      </w:r>
      <w:r>
        <w:rPr>
          <w:rFonts w:ascii="Atkinson Hyperlegible" w:hAnsi="Atkinson Hyperlegible"/>
          <w:sz w:val="24"/>
          <w:szCs w:val="24"/>
        </w:rPr>
        <w:t xml:space="preserve"> Apostem per un model de justícia restaurativa i mediació comunitària que prioritzi la responsabilitat col·lectiva per sobre del control policial i sancionador. Cal abordar les causes estructurals de la conflictivitat, com la manca d'habitatge o l'exclusió social, per garantir un benestar col·lectiu real.</w:t>
      </w:r>
    </w:p>
    <w:p>
      <w:pPr>
        <w:pStyle w:val="BodyText"/>
        <w:numPr>
          <w:ilvl w:val="0"/>
          <w:numId w:val="2"/>
        </w:numPr>
        <w:tabs>
          <w:tab w:val="clear" w:pos="709"/>
          <w:tab w:val="left" w:pos="0" w:leader="none"/>
        </w:tabs>
        <w:ind w:hanging="283" w:left="709"/>
        <w:jc w:val="both"/>
        <w:rPr>
          <w:rFonts w:ascii="Atkinson Hyperlegible" w:hAnsi="Atkinson Hyperlegible"/>
          <w:sz w:val="24"/>
          <w:szCs w:val="24"/>
        </w:rPr>
      </w:pPr>
      <w:r>
        <w:rPr>
          <w:rFonts w:ascii="Atkinson Hyperlegible" w:hAnsi="Atkinson Hyperlegible"/>
          <w:b/>
          <w:sz w:val="24"/>
          <w:szCs w:val="24"/>
        </w:rPr>
        <w:t>Governança horitzontal i lluita contra la mercantilització:</w:t>
      </w:r>
      <w:r>
        <w:rPr>
          <w:rFonts w:ascii="Atkinson Hyperlegible" w:hAnsi="Atkinson Hyperlegible"/>
          <w:sz w:val="24"/>
          <w:szCs w:val="24"/>
        </w:rPr>
        <w:t xml:space="preserve"> La governança d'aquest compromís ha de ser fruit d'una coproducció efectiva «de baix a dalt», amb una perspectiva interseccional i antiracista que no criminalitzi el jovent ni altres col·lectius vulnerabilitzats. Així mateix, cal prioritzar l’ús veïnal i comunitari de la ciutat per davant de la seva explotació comercial o turística.</w:t>
      </w:r>
    </w:p>
    <w:p>
      <w:pPr>
        <w:pStyle w:val="BodyText"/>
        <w:jc w:val="both"/>
        <w:rPr>
          <w:rFonts w:ascii="Atkinson Hyperlegible" w:hAnsi="Atkinson Hyperlegible"/>
          <w:sz w:val="24"/>
          <w:szCs w:val="24"/>
        </w:rPr>
      </w:pPr>
      <w:r>
        <w:rPr>
          <w:rFonts w:ascii="Atkinson Hyperlegible" w:hAnsi="Atkinson Hyperlegible"/>
          <w:sz w:val="24"/>
          <w:szCs w:val="24"/>
        </w:rPr>
        <w:t>Per tot això, des del Consell d’Associacions de Barcelona demanem que s’incorporin aquests elements transformadors per convertir la proposta en un veritable pacte social que garanteixi una Barcelona equitativa i accessible.</w:t>
      </w:r>
    </w:p>
    <w:p>
      <w:pPr>
        <w:pStyle w:val="BodyText"/>
        <w:jc w:val="both"/>
        <w:rPr>
          <w:rFonts w:ascii="Atkinson Hyperlegible" w:hAnsi="Atkinson Hyperlegible"/>
          <w:b/>
          <w:sz w:val="24"/>
          <w:szCs w:val="24"/>
        </w:rPr>
      </w:pPr>
      <w:r>
        <w:rPr>
          <w:rFonts w:ascii="Atkinson Hyperlegible" w:hAnsi="Atkinson Hyperlegible"/>
          <w:b/>
          <w:sz w:val="24"/>
          <w:szCs w:val="24"/>
        </w:rPr>
        <w:t>#PerUnaConvivènciaComunitària</w:t>
      </w:r>
    </w:p>
    <w:p>
      <w:pPr>
        <w:pStyle w:val="Normal"/>
        <w:bidi w:val="0"/>
        <w:ind w:hanging="0" w:left="0" w:right="0"/>
        <w:jc w:val="both"/>
        <w:rPr>
          <w:b/>
        </w:rPr>
      </w:pPr>
      <w:r>
        <w:rPr>
          <w:b/>
        </w:rPr>
      </w:r>
    </w:p>
    <w:p>
      <w:pPr>
        <w:pStyle w:val="BodyText"/>
        <w:bidi w:val="0"/>
        <w:jc w:val="both"/>
        <w:rPr>
          <w:rFonts w:ascii="Atkinson Hyperlegible" w:hAnsi="Atkinson Hyperlegible"/>
          <w:sz w:val="24"/>
          <w:szCs w:val="24"/>
        </w:rPr>
      </w:pPr>
      <w:r>
        <w:rPr>
          <w:rFonts w:ascii="Atkinson Hyperlegible" w:hAnsi="Atkinson Hyperlegible"/>
          <w:sz w:val="24"/>
          <w:szCs w:val="24"/>
        </w:rPr>
      </w:r>
    </w:p>
    <w:p>
      <w:pPr>
        <w:pStyle w:val="Normal"/>
        <w:bidi w:val="0"/>
        <w:jc w:val="both"/>
        <w:rPr>
          <w:rFonts w:ascii="Atkinson Hyperlegible" w:hAnsi="Atkinson Hyperlegible"/>
          <w:sz w:val="24"/>
          <w:szCs w:val="24"/>
        </w:rPr>
      </w:pPr>
      <w:r>
        <w:rPr>
          <w:rFonts w:ascii="Atkinson Hyperlegible" w:hAnsi="Atkinson Hyperlegible"/>
          <w:sz w:val="24"/>
          <w:szCs w:val="24"/>
        </w:rPr>
      </w:r>
    </w:p>
    <w:sectPr>
      <w:headerReference w:type="even" r:id="rId2"/>
      <w:headerReference w:type="default" r:id="rId3"/>
      <w:headerReference w:type="first" r:id="rId4"/>
      <w:type w:val="nextPage"/>
      <w:pgSz w:w="11906" w:h="16838"/>
      <w:pgMar w:left="1134" w:right="1134" w:gutter="0" w:header="1134" w:top="1417"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tkinson Hyperlegible">
    <w:charset w:val="01"/>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bidi w:val="0"/>
      <w:jc w:val="left"/>
      <w:rPr/>
    </w:pPr>
    <w: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shape_0" adj="10800" fillcolor="silver" stroked="f" o:allowincell="f" style="position:absolute;margin-left:0.1pt;margin-top:296.55pt;width:481.7pt;height:121.1pt;mso-wrap-style:none;v-text-anchor:middle;rotation:315;mso-position-horizontal:center;mso-position-horizontal-relative:margin;mso-position-vertical:center;mso-position-vertical-relative:margin" type="_x0000_t136">
          <v:path textpathok="t"/>
          <v:textpath on="t" fitshape="t" string="esborrany" style="font-family:&quot;Liberation Sans&quot;;font-size:1pt" trim="t"/>
          <v:fill o:detectmouseclick="t" type="solid" color2="#3f3f3f" opacity="0.5"/>
          <v:stroke color="#3465a4" joinstyle="round" endcap="flat"/>
          <w10:wrap type="none"/>
        </v:shape>
      </w:pic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bidi w:val="0"/>
      <w:jc w:val="left"/>
      <w:rPr/>
    </w:pPr>
    <w:r>
      <w:rPr/>
      <w:pict>
        <v:shape id="PowerPlusWaterMarkObject" o:spid="shape_0" adj="10800" fillcolor="silver" stroked="f" o:allowincell="f" style="position:absolute;margin-left:0.1pt;margin-top:296.55pt;width:481.7pt;height:121.1pt;mso-wrap-style:none;v-text-anchor:middle;rotation:315;mso-position-horizontal:center;mso-position-horizontal-relative:margin;mso-position-vertical:center;mso-position-vertical-relative:margin" type="_x0000_t136">
          <v:path textpathok="t"/>
          <v:textpath on="t" fitshape="t" string="esborrany" style="font-family:&quot;Liberation Sans&quot;;font-size:1pt" trim="t"/>
          <v:fill o:detectmouseclick="t" type="solid" color2="#3f3f3f" opacity="0.5"/>
          <v:stroke color="#3465a4" joinstyle="round" endcap="flat"/>
          <w10:wrap type="none"/>
        </v:shape>
      </w:pic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ca-E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oto Serif CJK SC" w:cs="Noto Sans Devanagari"/>
      <w:color w:val="auto"/>
      <w:kern w:val="2"/>
      <w:sz w:val="24"/>
      <w:szCs w:val="24"/>
      <w:lang w:val="ca-ES" w:eastAsia="zh-CN" w:bidi="hi-IN"/>
    </w:rPr>
  </w:style>
  <w:style w:type="paragraph" w:styleId="Heading3">
    <w:name w:val="heading 3"/>
    <w:basedOn w:val="Ttulo"/>
    <w:next w:val="BodyText"/>
    <w:qFormat/>
    <w:pPr>
      <w:spacing w:before="140" w:after="120"/>
      <w:outlineLvl w:val="2"/>
    </w:pPr>
    <w:rPr>
      <w:rFonts w:ascii="Liberation Serif" w:hAnsi="Liberation Serif" w:eastAsia="Noto Serif CJK SC" w:cs="Noto Sans Devanagari"/>
      <w:b/>
      <w:bCs/>
      <w:sz w:val="28"/>
      <w:szCs w:val="28"/>
    </w:rPr>
  </w:style>
  <w:style w:type="character" w:styleId="Strong">
    <w:name w:val="Strong"/>
    <w:qFormat/>
    <w:rPr>
      <w:b/>
      <w:bCs/>
    </w:rPr>
  </w:style>
  <w:style w:type="character" w:styleId="Bullets">
    <w:name w:val="Bullets"/>
    <w:qFormat/>
    <w:rPr>
      <w:rFonts w:ascii="OpenSymbol" w:hAnsi="OpenSymbol" w:eastAsia="OpenSymbol" w:cs="OpenSymbol"/>
    </w:rPr>
  </w:style>
  <w:style w:type="paragraph" w:styleId="Ttulo">
    <w:name w:val="Título"/>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ndex">
    <w:name w:val="Índex"/>
    <w:basedOn w:val="Normal"/>
    <w:qFormat/>
    <w:pPr>
      <w:suppressLineNumbers/>
    </w:pPr>
    <w:rPr>
      <w:rFonts w:cs="Noto Sans Devanagari"/>
    </w:rPr>
  </w:style>
  <w:style w:type="paragraph" w:styleId="Capaleraipeudepgina">
    <w:name w:val="Capçalera i peu de pàgina"/>
    <w:basedOn w:val="Normal"/>
    <w:qFormat/>
    <w:pPr>
      <w:suppressLineNumbers/>
      <w:tabs>
        <w:tab w:val="clear" w:pos="709"/>
        <w:tab w:val="center" w:pos="4819" w:leader="none"/>
        <w:tab w:val="right" w:pos="9638" w:leader="none"/>
      </w:tabs>
    </w:pPr>
    <w:rPr/>
  </w:style>
  <w:style w:type="paragraph" w:styleId="Header">
    <w:name w:val="header"/>
    <w:basedOn w:val="Capaleraipeudepgina"/>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23</TotalTime>
  <Application>Collabora_Office/25.04.6.1$Linux_X86_64 LibreOffice_project/1942b5e6e9a7fd36bf8aebea96351f8442131ce3</Application>
  <AppVersion>15.0000</AppVersion>
  <Pages>2</Pages>
  <Words>388</Words>
  <Characters>2294</Characters>
  <CharactersWithSpaces>2668</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2026-06-16T14:27:47Z</dcterms:created>
  <dc:creator/>
  <dc:description/>
  <dc:language>ca-ES</dc:language>
  <cp:lastModifiedBy/>
  <dcterms:modified xsi:type="dcterms:W3CDTF">2026-06-29T09:58:57Z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