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ind w:hanging="0" w:left="0" w:right="0"/>
        <w:jc w:val="both"/>
        <w:rPr>
          <w:rFonts w:ascii="Atkinson Hyperlegible" w:hAnsi="Atkinson Hyperlegible"/>
          <w:b/>
        </w:rPr>
      </w:pPr>
      <w:r>
        <w:rPr>
          <w:rFonts w:ascii="Atkinson Hyperlegible" w:hAnsi="Atkinson Hyperlegible"/>
          <w:b/>
          <w:sz w:val="24"/>
          <w:szCs w:val="24"/>
        </w:rPr>
        <w:t>Proposta de resolució del Consell d’Associacions de Barcelona sobre el procés del «Pacte de Ciutat pel Foment de l’Associacionisme»</w:t>
      </w:r>
    </w:p>
    <w:p>
      <w:pPr>
        <w:pStyle w:val="Normal"/>
        <w:bidi w:val="0"/>
        <w:ind w:hanging="0" w:left="0" w:right="0"/>
        <w:jc w:val="both"/>
        <w:rPr>
          <w:rFonts w:ascii="Atkinson Hyperlegible" w:hAnsi="Atkinson Hyperlegible"/>
          <w:b/>
        </w:rPr>
      </w:pPr>
      <w:r>
        <w:rPr>
          <w:rFonts w:ascii="Atkinson Hyperlegible" w:hAnsi="Atkinson Hyperlegible"/>
          <w:b/>
        </w:rPr>
      </w:r>
    </w:p>
    <w:p>
      <w:pPr>
        <w:pStyle w:val="Normal"/>
        <w:ind w:hanging="0" w:left="0" w:right="0"/>
        <w:rPr>
          <w:rFonts w:ascii="Atkinson Hyperlegible" w:hAnsi="Atkinson Hyperlegible"/>
          <w:b/>
        </w:rPr>
      </w:pPr>
      <w:r>
        <w:rPr>
          <w:rFonts w:ascii="Atkinson Hyperlegible" w:hAnsi="Atkinson Hyperlegible"/>
          <w:b/>
        </w:rPr>
        <w:t xml:space="preserve">Presentada per: </w:t>
      </w:r>
    </w:p>
    <w:p>
      <w:pPr>
        <w:pStyle w:val="Normal"/>
        <w:ind w:hanging="0" w:left="0" w:right="0"/>
        <w:rPr>
          <w:rFonts w:ascii="Atkinson Hyperlegible" w:hAnsi="Atkinson Hyperlegible"/>
        </w:rPr>
      </w:pPr>
      <w:r>
        <w:rPr>
          <w:rFonts w:ascii="Atkinson Hyperlegible" w:hAnsi="Atkinson Hyperlegible"/>
        </w:rPr>
      </w:r>
    </w:p>
    <w:p>
      <w:pPr>
        <w:pStyle w:val="Normal"/>
        <w:ind w:hanging="0" w:left="0" w:right="0"/>
        <w:rPr>
          <w:rFonts w:ascii="Atkinson Hyperlegible" w:hAnsi="Atkinson Hyperlegible"/>
          <w:sz w:val="24"/>
          <w:szCs w:val="24"/>
        </w:rPr>
      </w:pPr>
      <w:r>
        <w:rPr>
          <w:rFonts w:ascii="Atkinson Hyperlegible" w:hAnsi="Atkinson Hyperlegible"/>
          <w:sz w:val="24"/>
          <w:szCs w:val="24"/>
        </w:rPr>
        <w:t xml:space="preserve">Davant el repte que suposa el desplegament de la </w:t>
      </w:r>
      <w:r>
        <w:rPr>
          <w:rFonts w:ascii="Atkinson Hyperlegible" w:hAnsi="Atkinson Hyperlegible"/>
          <w:b/>
          <w:sz w:val="24"/>
          <w:szCs w:val="24"/>
        </w:rPr>
        <w:t>Llei 11/2023 de Foment de l’Associacionisme</w:t>
      </w:r>
      <w:r>
        <w:rPr>
          <w:rFonts w:ascii="Atkinson Hyperlegible" w:hAnsi="Atkinson Hyperlegible"/>
          <w:sz w:val="24"/>
          <w:szCs w:val="24"/>
        </w:rPr>
        <w:t xml:space="preserve"> a escala municipal, </w:t>
      </w:r>
      <w:r>
        <w:rPr>
          <w:rFonts w:ascii="Atkinson Hyperlegible" w:hAnsi="Atkinson Hyperlegible"/>
          <w:sz w:val="24"/>
          <w:szCs w:val="24"/>
        </w:rPr>
        <w:t>les associacions de Barcelona</w:t>
      </w:r>
      <w:r>
        <w:rPr>
          <w:rFonts w:ascii="Atkinson Hyperlegible" w:hAnsi="Atkinson Hyperlegible"/>
          <w:sz w:val="24"/>
          <w:szCs w:val="24"/>
        </w:rPr>
        <w:t xml:space="preserve"> impuls</w:t>
      </w:r>
      <w:r>
        <w:rPr>
          <w:rFonts w:ascii="Atkinson Hyperlegible" w:hAnsi="Atkinson Hyperlegible"/>
          <w:sz w:val="24"/>
          <w:szCs w:val="24"/>
        </w:rPr>
        <w:t>em</w:t>
      </w:r>
      <w:r>
        <w:rPr>
          <w:rFonts w:ascii="Atkinson Hyperlegible" w:hAnsi="Atkinson Hyperlegible"/>
          <w:sz w:val="24"/>
          <w:szCs w:val="24"/>
        </w:rPr>
        <w:t xml:space="preserve"> el </w:t>
      </w:r>
      <w:r>
        <w:rPr>
          <w:rFonts w:ascii="Atkinson Hyperlegible" w:hAnsi="Atkinson Hyperlegible"/>
          <w:b/>
          <w:sz w:val="24"/>
          <w:szCs w:val="24"/>
        </w:rPr>
        <w:t>Pacte de Ciutat pel Foment de l’Associacionisme</w:t>
      </w:r>
      <w:r>
        <w:rPr>
          <w:rFonts w:ascii="Atkinson Hyperlegible" w:hAnsi="Atkinson Hyperlegible"/>
          <w:sz w:val="24"/>
          <w:szCs w:val="24"/>
        </w:rPr>
        <w:t xml:space="preserve">. Aquest procés neix de la necessitat de fer un replantejament global de les polítiques municipals per definir una estratègia conjunta que enforteixi el teixit associatiu de la ciutat. L'objectiu és assolir un </w:t>
      </w:r>
      <w:r>
        <w:rPr>
          <w:rFonts w:ascii="Atkinson Hyperlegible" w:hAnsi="Atkinson Hyperlegible"/>
          <w:b/>
          <w:sz w:val="24"/>
          <w:szCs w:val="24"/>
        </w:rPr>
        <w:t>compromís polític ferm</w:t>
      </w:r>
      <w:r>
        <w:rPr>
          <w:rFonts w:ascii="Atkinson Hyperlegible" w:hAnsi="Atkinson Hyperlegible"/>
          <w:sz w:val="24"/>
          <w:szCs w:val="24"/>
        </w:rPr>
        <w:t xml:space="preserve"> que garanteixi el futur de les entitats i la seva participació activa en la governança de Barcelona, reconeixent les persones voluntàries com a militants de causes socials i agents de transformació.</w:t>
      </w:r>
    </w:p>
    <w:p>
      <w:pPr>
        <w:pStyle w:val="Normal"/>
        <w:spacing w:before="0" w:after="283"/>
        <w:ind w:hanging="0" w:left="0" w:right="0"/>
        <w:rPr>
          <w:rFonts w:ascii="Atkinson Hyperlegible" w:hAnsi="Atkinson Hyperlegible"/>
          <w:sz w:val="24"/>
          <w:szCs w:val="24"/>
        </w:rPr>
      </w:pPr>
      <w:r>
        <w:rPr>
          <w:rFonts w:ascii="Atkinson Hyperlegible" w:hAnsi="Atkinson Hyperlegible"/>
          <w:sz w:val="24"/>
          <w:szCs w:val="24"/>
        </w:rPr>
        <w:t xml:space="preserve">Per aquest motiu, l'assemblea del CAB presenta aquest full de ruta operatiu, concretat en </w:t>
      </w:r>
      <w:r>
        <w:rPr>
          <w:rFonts w:ascii="Atkinson Hyperlegible" w:hAnsi="Atkinson Hyperlegible"/>
          <w:b/>
          <w:sz w:val="24"/>
          <w:szCs w:val="24"/>
        </w:rPr>
        <w:t>185 propostes</w:t>
      </w:r>
      <w:r>
        <w:rPr>
          <w:rFonts w:ascii="Atkinson Hyperlegible" w:hAnsi="Atkinson Hyperlegible"/>
          <w:sz w:val="24"/>
          <w:szCs w:val="24"/>
        </w:rPr>
        <w:t>, que incideixen en cinc eixos estratègics transformadors:</w:t>
      </w:r>
    </w:p>
    <w:p>
      <w:pPr>
        <w:pStyle w:val="Normal"/>
        <w:numPr>
          <w:ilvl w:val="0"/>
          <w:numId w:val="1"/>
        </w:numPr>
        <w:spacing w:before="0" w:after="283"/>
        <w:rPr>
          <w:rFonts w:ascii="Atkinson Hyperlegible" w:hAnsi="Atkinson Hyperlegible"/>
        </w:rPr>
      </w:pPr>
      <w:r>
        <w:rPr>
          <w:rFonts w:ascii="Atkinson Hyperlegible" w:hAnsi="Atkinson Hyperlegible"/>
          <w:b/>
          <w:i w:val="false"/>
          <w:caps w:val="false"/>
          <w:smallCaps w:val="false"/>
          <w:color w:val="303030"/>
          <w:spacing w:val="0"/>
          <w:sz w:val="24"/>
          <w:szCs w:val="24"/>
        </w:rPr>
        <w:t>Enfortiment dels valors democràtics i reconeixement:</w:t>
      </w:r>
      <w:r>
        <w:rPr>
          <w:rFonts w:ascii="Atkinson Hyperlegible" w:hAnsi="Atkinson Hyperlegible"/>
          <w:b w:val="false"/>
          <w:i w:val="false"/>
          <w:caps w:val="false"/>
          <w:smallCaps w:val="false"/>
          <w:color w:val="303030"/>
          <w:spacing w:val="0"/>
          <w:sz w:val="24"/>
          <w:szCs w:val="24"/>
        </w:rPr>
        <w:t xml:space="preserve"> Reivindiquem l’associacionisme com una eina de construcció democràtica i cohesió social6. Cal que l'Administració impulsi mecanismes de reconeixement institucional i memòria, protegint el patrimoni associatiu i apropant el fet associatiu a les noves generacions a través de l’àmbit educatiu.</w:t>
      </w:r>
    </w:p>
    <w:p>
      <w:pPr>
        <w:pStyle w:val="Normal"/>
        <w:numPr>
          <w:ilvl w:val="0"/>
          <w:numId w:val="1"/>
        </w:numPr>
        <w:spacing w:before="0" w:after="283"/>
        <w:rPr>
          <w:rFonts w:ascii="Atkinson Hyperlegible" w:hAnsi="Atkinson Hyperlegible"/>
        </w:rPr>
      </w:pPr>
      <w:r>
        <w:rPr>
          <w:rFonts w:ascii="Atkinson Hyperlegible" w:hAnsi="Atkinson Hyperlegible"/>
          <w:b/>
          <w:i w:val="false"/>
          <w:caps w:val="false"/>
          <w:smallCaps w:val="false"/>
          <w:color w:val="303030"/>
          <w:spacing w:val="0"/>
          <w:sz w:val="24"/>
          <w:szCs w:val="24"/>
        </w:rPr>
        <w:t>Dret a l’espai públic i locals dignes:</w:t>
      </w:r>
      <w:r>
        <w:rPr>
          <w:rFonts w:ascii="Atkinson Hyperlegible" w:hAnsi="Atkinson Hyperlegible"/>
          <w:b w:val="false"/>
          <w:i w:val="false"/>
          <w:caps w:val="false"/>
          <w:smallCaps w:val="false"/>
          <w:color w:val="303030"/>
          <w:spacing w:val="0"/>
          <w:sz w:val="24"/>
          <w:szCs w:val="24"/>
        </w:rPr>
        <w:t xml:space="preserve"> Exigim que els carrers i places siguin espais prioritaris per a la socialització i l’activitat comunitària, facilitant-ne l'ús amb normatives flexibles910. Així mateix, apostem per la </w:t>
      </w:r>
      <w:r>
        <w:rPr>
          <w:rFonts w:ascii="Atkinson Hyperlegible" w:hAnsi="Atkinson Hyperlegible"/>
          <w:b/>
          <w:i w:val="false"/>
          <w:caps w:val="false"/>
          <w:smallCaps w:val="false"/>
          <w:color w:val="303030"/>
          <w:spacing w:val="0"/>
          <w:sz w:val="24"/>
          <w:szCs w:val="24"/>
        </w:rPr>
        <w:t>gestió cívica i público-comunitària</w:t>
      </w:r>
      <w:r>
        <w:rPr>
          <w:rFonts w:ascii="Atkinson Hyperlegible" w:hAnsi="Atkinson Hyperlegible"/>
          <w:b w:val="false"/>
          <w:i w:val="false"/>
          <w:caps w:val="false"/>
          <w:smallCaps w:val="false"/>
          <w:color w:val="303030"/>
          <w:spacing w:val="0"/>
          <w:sz w:val="24"/>
          <w:szCs w:val="24"/>
        </w:rPr>
        <w:t xml:space="preserve"> d’equipaments i per una planificació urbana que garanteixi una xarxa d’espais compartits, accessibles i adequats per a les entitats.</w:t>
      </w:r>
    </w:p>
    <w:p>
      <w:pPr>
        <w:pStyle w:val="Normal"/>
        <w:numPr>
          <w:ilvl w:val="0"/>
          <w:numId w:val="1"/>
        </w:numPr>
        <w:spacing w:before="0" w:after="283"/>
        <w:rPr>
          <w:rFonts w:ascii="Atkinson Hyperlegible" w:hAnsi="Atkinson Hyperlegible"/>
        </w:rPr>
      </w:pPr>
      <w:r>
        <w:rPr>
          <w:rFonts w:ascii="Atkinson Hyperlegible" w:hAnsi="Atkinson Hyperlegible"/>
          <w:b/>
          <w:i w:val="false"/>
          <w:caps w:val="false"/>
          <w:smallCaps w:val="false"/>
          <w:color w:val="303030"/>
          <w:spacing w:val="0"/>
          <w:sz w:val="24"/>
          <w:szCs w:val="24"/>
        </w:rPr>
        <w:t>Burocràcia zero i relació basada en la confiança:</w:t>
      </w:r>
      <w:r>
        <w:rPr>
          <w:rFonts w:ascii="Atkinson Hyperlegible" w:hAnsi="Atkinson Hyperlegible"/>
          <w:b w:val="false"/>
          <w:i w:val="false"/>
          <w:caps w:val="false"/>
          <w:smallCaps w:val="false"/>
          <w:color w:val="303030"/>
          <w:spacing w:val="0"/>
          <w:sz w:val="24"/>
          <w:szCs w:val="24"/>
        </w:rPr>
        <w:t xml:space="preserve"> Cal que la relació amb l’Ajuntament deixi de ser una cursa d’obstacles. Proposem la implementació d'una </w:t>
      </w:r>
      <w:r>
        <w:rPr>
          <w:rFonts w:ascii="Atkinson Hyperlegible" w:hAnsi="Atkinson Hyperlegible"/>
          <w:b/>
          <w:i w:val="false"/>
          <w:caps w:val="false"/>
          <w:smallCaps w:val="false"/>
          <w:color w:val="303030"/>
          <w:spacing w:val="0"/>
          <w:sz w:val="24"/>
          <w:szCs w:val="24"/>
        </w:rPr>
        <w:t>finestreta única</w:t>
      </w:r>
      <w:r>
        <w:rPr>
          <w:rFonts w:ascii="Atkinson Hyperlegible" w:hAnsi="Atkinson Hyperlegible"/>
          <w:b w:val="false"/>
          <w:i w:val="false"/>
          <w:caps w:val="false"/>
          <w:smallCaps w:val="false"/>
          <w:color w:val="303030"/>
          <w:spacing w:val="0"/>
          <w:sz w:val="24"/>
          <w:szCs w:val="24"/>
        </w:rPr>
        <w:t>, la simplificació administrativa proporcional a la mida de les entitats i l'adopció d'un llenguatge proper i entenedor en tots els tràmits.</w:t>
      </w:r>
    </w:p>
    <w:p>
      <w:pPr>
        <w:pStyle w:val="Normal"/>
        <w:numPr>
          <w:ilvl w:val="0"/>
          <w:numId w:val="1"/>
        </w:numPr>
        <w:spacing w:before="0" w:after="283"/>
        <w:rPr>
          <w:rFonts w:ascii="Atkinson Hyperlegible" w:hAnsi="Atkinson Hyperlegible"/>
        </w:rPr>
      </w:pPr>
      <w:r>
        <w:rPr>
          <w:rFonts w:ascii="Atkinson Hyperlegible" w:hAnsi="Atkinson Hyperlegible"/>
          <w:b/>
          <w:i w:val="false"/>
          <w:caps w:val="false"/>
          <w:smallCaps w:val="false"/>
          <w:color w:val="303030"/>
          <w:spacing w:val="0"/>
          <w:sz w:val="24"/>
          <w:szCs w:val="24"/>
        </w:rPr>
        <w:t>Finançament estable i autonomia econòmica:</w:t>
      </w:r>
      <w:r>
        <w:rPr>
          <w:rFonts w:ascii="Atkinson Hyperlegible" w:hAnsi="Atkinson Hyperlegible"/>
          <w:b w:val="false"/>
          <w:i w:val="false"/>
          <w:caps w:val="false"/>
          <w:smallCaps w:val="false"/>
          <w:color w:val="303030"/>
          <w:spacing w:val="0"/>
          <w:sz w:val="24"/>
          <w:szCs w:val="24"/>
        </w:rPr>
        <w:t xml:space="preserve"> Reclamem un model de finançament que superi la inestabilitat actual15. Cal incrementar els pressupostos de proximitat, agilitzar el pagament de subvencions i prioritzar els convenis pluriennals per garantir la </w:t>
      </w:r>
      <w:r>
        <w:rPr>
          <w:rFonts w:ascii="Atkinson Hyperlegible" w:hAnsi="Atkinson Hyperlegible"/>
          <w:b/>
          <w:i w:val="false"/>
          <w:caps w:val="false"/>
          <w:smallCaps w:val="false"/>
          <w:color w:val="303030"/>
          <w:spacing w:val="0"/>
          <w:sz w:val="24"/>
          <w:szCs w:val="24"/>
        </w:rPr>
        <w:t>sostenibilitat estructural</w:t>
      </w:r>
      <w:r>
        <w:rPr>
          <w:rFonts w:ascii="Atkinson Hyperlegible" w:hAnsi="Atkinson Hyperlegible"/>
          <w:b w:val="false"/>
          <w:i w:val="false"/>
          <w:caps w:val="false"/>
          <w:smallCaps w:val="false"/>
          <w:color w:val="303030"/>
          <w:spacing w:val="0"/>
          <w:sz w:val="24"/>
          <w:szCs w:val="24"/>
        </w:rPr>
        <w:t xml:space="preserve"> de les entitats i les seves federacions.</w:t>
      </w:r>
    </w:p>
    <w:p>
      <w:pPr>
        <w:pStyle w:val="Normal"/>
        <w:numPr>
          <w:ilvl w:val="0"/>
          <w:numId w:val="1"/>
        </w:numPr>
        <w:spacing w:before="0" w:after="283"/>
        <w:rPr>
          <w:rFonts w:ascii="Atkinson Hyperlegible" w:hAnsi="Atkinson Hyperlegible"/>
        </w:rPr>
      </w:pPr>
      <w:r>
        <w:rPr>
          <w:rFonts w:ascii="Atkinson Hyperlegible" w:hAnsi="Atkinson Hyperlegible"/>
          <w:b/>
          <w:i w:val="false"/>
          <w:caps w:val="false"/>
          <w:smallCaps w:val="false"/>
          <w:color w:val="303030"/>
          <w:spacing w:val="0"/>
          <w:sz w:val="24"/>
          <w:szCs w:val="24"/>
        </w:rPr>
        <w:t>Cures i suport al voluntariat:</w:t>
      </w:r>
      <w:r>
        <w:rPr>
          <w:rFonts w:ascii="Atkinson Hyperlegible" w:hAnsi="Atkinson Hyperlegible"/>
          <w:b w:val="false"/>
          <w:i w:val="false"/>
          <w:caps w:val="false"/>
          <w:smallCaps w:val="false"/>
          <w:color w:val="303030"/>
          <w:spacing w:val="0"/>
          <w:sz w:val="24"/>
          <w:szCs w:val="24"/>
        </w:rPr>
        <w:t xml:space="preserve"> L'Administració ha de respectar els temps i les dinàmiques de les entitats, oferint assessorament i formació que facilitin la conciliació i el relleu generacional9.</w:t>
      </w:r>
    </w:p>
    <w:p>
      <w:pPr>
        <w:pStyle w:val="BodyText"/>
        <w:spacing w:before="0" w:after="0"/>
        <w:ind w:hanging="0" w:left="0" w:right="0"/>
        <w:rPr>
          <w:rFonts w:ascii="Atkinson Hyperlegible" w:hAnsi="Atkinson Hyperlegible"/>
          <w:sz w:val="24"/>
          <w:szCs w:val="24"/>
        </w:rPr>
      </w:pPr>
      <w:r>
        <w:rPr>
          <w:rFonts w:ascii="Atkinson Hyperlegible" w:hAnsi="Atkinson Hyperlegible"/>
          <w:sz w:val="24"/>
          <w:szCs w:val="24"/>
        </w:rPr>
        <w:t xml:space="preserve">Per tot això, des del Consell d’Associacions de Barcelona emplacem a totes les </w:t>
      </w:r>
      <w:r>
        <w:rPr>
          <w:rFonts w:ascii="Atkinson Hyperlegible" w:hAnsi="Atkinson Hyperlegible"/>
          <w:sz w:val="24"/>
          <w:szCs w:val="24"/>
        </w:rPr>
        <w:t xml:space="preserve">associacions a sumar-se i més endavant el farem arribar a les </w:t>
      </w:r>
      <w:r>
        <w:rPr>
          <w:rFonts w:ascii="Atkinson Hyperlegible" w:hAnsi="Atkinson Hyperlegible"/>
          <w:sz w:val="24"/>
          <w:szCs w:val="24"/>
        </w:rPr>
        <w:t xml:space="preserve"> forces polítiques del consistori </w:t>
      </w:r>
      <w:r>
        <w:rPr>
          <w:rFonts w:ascii="Atkinson Hyperlegible" w:hAnsi="Atkinson Hyperlegible"/>
          <w:sz w:val="24"/>
          <w:szCs w:val="24"/>
        </w:rPr>
        <w:t>per</w:t>
      </w:r>
      <w:r>
        <w:rPr>
          <w:rFonts w:ascii="Atkinson Hyperlegible" w:hAnsi="Atkinson Hyperlegible"/>
          <w:sz w:val="24"/>
          <w:szCs w:val="24"/>
        </w:rPr>
        <w:t xml:space="preserve"> treballar plegades per  obrir una nova etapa que posi la "mirada llarga" en el futur de l’associacionisme barceloní.</w:t>
      </w:r>
    </w:p>
    <w:p>
      <w:pPr>
        <w:pStyle w:val="BodyText"/>
        <w:spacing w:before="0" w:after="0"/>
        <w:ind w:hanging="0" w:left="0" w:right="0"/>
        <w:rPr>
          <w:rFonts w:ascii="Atkinson Hyperlegible" w:hAnsi="Atkinson Hyperlegible"/>
          <w:b/>
          <w:sz w:val="24"/>
          <w:szCs w:val="24"/>
        </w:rPr>
      </w:pPr>
      <w:r>
        <w:rPr>
          <w:rFonts w:ascii="Atkinson Hyperlegible" w:hAnsi="Atkinson Hyperlegible"/>
          <w:b/>
          <w:sz w:val="24"/>
          <w:szCs w:val="24"/>
        </w:rPr>
        <w:t>#PacteAssociacionismeBCN</w:t>
      </w:r>
    </w:p>
    <w:p>
      <w:pPr>
        <w:pStyle w:val="BodyText"/>
        <w:bidi w:val="0"/>
        <w:ind w:hanging="0" w:left="0" w:right="0"/>
        <w:jc w:val="both"/>
        <w:rPr>
          <w:rFonts w:ascii="Atkinson Hyperlegible" w:hAnsi="Atkinson Hyperlegible"/>
          <w:sz w:val="24"/>
          <w:szCs w:val="24"/>
        </w:rPr>
      </w:pPr>
      <w:r>
        <w:rPr>
          <w:rFonts w:ascii="Atkinson Hyperlegible" w:hAnsi="Atkinson Hyperlegible"/>
          <w:sz w:val="24"/>
          <w:szCs w:val="24"/>
        </w:rPr>
      </w:r>
    </w:p>
    <w:p>
      <w:pPr>
        <w:pStyle w:val="Normal"/>
        <w:bidi w:val="0"/>
        <w:ind w:hanging="0" w:left="0" w:right="0"/>
        <w:jc w:val="both"/>
        <w:rPr>
          <w:b/>
        </w:rPr>
      </w:pPr>
      <w:r>
        <w:rPr>
          <w:b/>
        </w:rPr>
      </w:r>
    </w:p>
    <w:p>
      <w:pPr>
        <w:pStyle w:val="BodyText"/>
        <w:bidi w:val="0"/>
        <w:jc w:val="both"/>
        <w:rPr>
          <w:rFonts w:ascii="Atkinson Hyperlegible" w:hAnsi="Atkinson Hyperlegible"/>
          <w:sz w:val="24"/>
          <w:szCs w:val="24"/>
        </w:rPr>
      </w:pPr>
      <w:r>
        <w:rPr>
          <w:rFonts w:ascii="Atkinson Hyperlegible" w:hAnsi="Atkinson Hyperlegible"/>
          <w:sz w:val="24"/>
          <w:szCs w:val="24"/>
        </w:rPr>
      </w:r>
    </w:p>
    <w:p>
      <w:pPr>
        <w:pStyle w:val="Normal"/>
        <w:bidi w:val="0"/>
        <w:jc w:val="both"/>
        <w:rPr>
          <w:rFonts w:ascii="Atkinson Hyperlegible" w:hAnsi="Atkinson Hyperlegible"/>
          <w:sz w:val="24"/>
          <w:szCs w:val="24"/>
        </w:rPr>
      </w:pPr>
      <w:r>
        <w:rPr>
          <w:rFonts w:ascii="Atkinson Hyperlegible" w:hAnsi="Atkinson Hyperlegible"/>
          <w:sz w:val="24"/>
          <w:szCs w:val="24"/>
        </w:rPr>
      </w:r>
    </w:p>
    <w:sectPr>
      <w:headerReference w:type="even" r:id="rId2"/>
      <w:headerReference w:type="default" r:id="rId3"/>
      <w:headerReference w:type="first" r:id="rId4"/>
      <w:type w:val="nextPage"/>
      <w:pgSz w:w="11906" w:h="16838"/>
      <w:pgMar w:left="1134" w:right="1134" w:gutter="0" w:header="1134" w:top="1417"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swiss"/>
    <w:pitch w:val="variable"/>
  </w:font>
  <w:font w:name="OpenSymbol">
    <w:altName w:val="Arial Unicode MS"/>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Atkinson Hyperlegible">
    <w:charset w:val="01"/>
    <w:family w:val="auto"/>
    <w:pitch w:val="variable"/>
  </w:font>
  <w:font w:name="Atkinson Hyperlegible">
    <w:charset w:val="01"/>
    <w:family w:val="roman"/>
    <w:pitch w:val="variable"/>
  </w:font>
  <w:font w:name="Symbol">
    <w:charset w:val="02"/>
    <w:family w:val="auto"/>
    <w:pitch w:val="default"/>
  </w:font>
  <w:font w:name="OpenSymbol">
    <w:altName w:val="Arial Unicode MS"/>
    <w:charset w:val="01"/>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bidi w:val="0"/>
      <w:jc w:val="left"/>
      <w:rPr/>
    </w:pPr>
    <w: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shape_0" adj="10800" fillcolor="silver" stroked="f" o:allowincell="f" style="position:absolute;margin-left:0.1pt;margin-top:296.55pt;width:481.65pt;height:121.05pt;mso-wrap-style:none;v-text-anchor:middle;rotation:315;mso-position-horizontal:center;mso-position-horizontal-relative:margin;mso-position-vertical:center;mso-position-vertical-relative:margin" type="_x0000_t136">
          <v:path textpathok="t"/>
          <v:textpath on="t" fitshape="t" string="esborrany" style="font-family:&quot;Liberation Sans&quot;;font-size:1pt" trim="t"/>
          <v:fill o:detectmouseclick="t" type="solid" color2="#3f3f3f" opacity="0.5"/>
          <v:stroke color="#3465a4" joinstyle="round" endcap="flat"/>
          <w10:wrap type="none"/>
        </v:shape>
      </w:pic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bidi w:val="0"/>
      <w:jc w:val="left"/>
      <w:rPr/>
    </w:pPr>
    <w:r>
      <w:rPr/>
      <w:pict>
        <v:shape id="PowerPlusWaterMarkObject" o:spid="shape_0" adj="10800" fillcolor="silver" stroked="f" o:allowincell="f" style="position:absolute;margin-left:0.1pt;margin-top:296.55pt;width:481.65pt;height:121.05pt;mso-wrap-style:none;v-text-anchor:middle;rotation:315;mso-position-horizontal:center;mso-position-horizontal-relative:margin;mso-position-vertical:center;mso-position-vertical-relative:margin" type="_x0000_t136">
          <v:path textpathok="t"/>
          <v:textpath on="t" fitshape="t" string="esborrany" style="font-family:&quot;Liberation Sans&quot;;font-size:1pt" trim="t"/>
          <v:fill o:detectmouseclick="t" type="solid" color2="#3f3f3f" opacity="0.5"/>
          <v:stroke color="#3465a4" joinstyle="round" endcap="flat"/>
          <w10:wrap type="none"/>
        </v:shape>
      </w:pic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ca-E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oto Serif CJK SC" w:cs="Noto Sans Devanagari"/>
      <w:color w:val="auto"/>
      <w:kern w:val="2"/>
      <w:sz w:val="24"/>
      <w:szCs w:val="24"/>
      <w:lang w:val="ca-ES" w:eastAsia="zh-CN" w:bidi="hi-IN"/>
    </w:rPr>
  </w:style>
  <w:style w:type="paragraph" w:styleId="Heading3">
    <w:name w:val="Heading 3"/>
    <w:basedOn w:val="Ttulo"/>
    <w:next w:val="BodyText"/>
    <w:qFormat/>
    <w:pPr>
      <w:spacing w:before="140" w:after="120"/>
      <w:outlineLvl w:val="2"/>
    </w:pPr>
    <w:rPr>
      <w:rFonts w:ascii="Liberation Serif" w:hAnsi="Liberation Serif" w:eastAsia="Noto Serif CJK SC" w:cs="Noto Sans Devanagari"/>
      <w:b/>
      <w:bCs/>
      <w:sz w:val="28"/>
      <w:szCs w:val="28"/>
    </w:rPr>
  </w:style>
  <w:style w:type="character" w:styleId="Strong">
    <w:name w:val="Strong"/>
    <w:qFormat/>
    <w:rPr>
      <w:b/>
      <w:bCs/>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tulo">
    <w:name w:val="Título"/>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ndex">
    <w:name w:val="Índex"/>
    <w:basedOn w:val="Normal"/>
    <w:qFormat/>
    <w:pPr>
      <w:suppressLineNumbers/>
    </w:pPr>
    <w:rPr>
      <w:rFonts w:cs="Noto Sans Devanagari"/>
    </w:rPr>
  </w:style>
  <w:style w:type="paragraph" w:styleId="Capaleraipeudepgina">
    <w:name w:val="Capçalera i peu de pàgina"/>
    <w:basedOn w:val="Normal"/>
    <w:qFormat/>
    <w:pPr>
      <w:suppressLineNumbers/>
      <w:tabs>
        <w:tab w:val="clear" w:pos="709"/>
        <w:tab w:val="center" w:pos="4819" w:leader="none"/>
        <w:tab w:val="right" w:pos="9638" w:leader="none"/>
      </w:tabs>
    </w:pPr>
    <w:rPr/>
  </w:style>
  <w:style w:type="paragraph" w:styleId="HeaderandFooter">
    <w:name w:val="Header and Footer"/>
    <w:basedOn w:val="Normal"/>
    <w:qFormat/>
    <w:pPr/>
    <w:rPr/>
  </w:style>
  <w:style w:type="paragraph" w:styleId="Header">
    <w:name w:val="Header"/>
    <w:basedOn w:val="Capaleraipeudepgina"/>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29</TotalTime>
  <Application>LibreOffice/24.2.7.2$Linux_X86_64 LibreOffice_project/420$Build-2</Application>
  <AppVersion>15.0000</AppVersion>
  <Pages>2</Pages>
  <Words>414</Words>
  <Characters>2424</Characters>
  <CharactersWithSpaces>2825</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2026-06-16T14:27:47Z</dcterms:created>
  <dc:creator/>
  <dc:description/>
  <dc:language>ca-ES</dc:language>
  <cp:lastModifiedBy/>
  <dcterms:modified xsi:type="dcterms:W3CDTF">2026-06-30T16:36:07Z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