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ind w:hanging="0" w:left="0" w:right="0"/>
        <w:jc w:val="both"/>
        <w:rPr>
          <w:rFonts w:ascii="Atkinson Hyperlegible" w:hAnsi="Atkinson Hyperlegible"/>
          <w:b/>
          <w:bCs/>
          <w:sz w:val="24"/>
          <w:szCs w:val="24"/>
        </w:rPr>
      </w:pPr>
      <w:r>
        <w:rPr>
          <w:rFonts w:ascii="Atkinson Hyperlegible" w:hAnsi="Atkinson Hyperlegible"/>
          <w:b/>
          <w:bCs/>
          <w:sz w:val="24"/>
          <w:szCs w:val="24"/>
        </w:rPr>
        <w:t xml:space="preserve">Proposta </w:t>
      </w:r>
      <w:r>
        <w:rPr>
          <w:rFonts w:ascii="Atkinson Hyperlegible" w:hAnsi="Atkinson Hyperlegible"/>
          <w:b/>
          <w:bCs/>
          <w:sz w:val="24"/>
          <w:szCs w:val="24"/>
        </w:rPr>
        <w:t>resolució</w:t>
      </w:r>
      <w:r>
        <w:rPr>
          <w:rFonts w:ascii="Atkinson Hyperlegible" w:hAnsi="Atkinson Hyperlegible"/>
          <w:b/>
          <w:bCs/>
          <w:sz w:val="24"/>
          <w:szCs w:val="24"/>
        </w:rPr>
        <w:t>- Una Mirada per a la reflexió i la millora de l’acció subvencional (2025)</w:t>
      </w:r>
    </w:p>
    <w:p>
      <w:pPr>
        <w:pStyle w:val="BodyText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La Convocatòria General de Subvencions 2025 posa de manifest, un cop més, la vitalitat i la resiliència del teixit associatiu de Barcelona. No obstant això, des del </w:t>
      </w:r>
      <w:r>
        <w:rPr>
          <w:rFonts w:ascii="Atkinson Hyperlegible" w:hAnsi="Atkinson Hyperlegible"/>
          <w:b/>
          <w:sz w:val="24"/>
          <w:szCs w:val="24"/>
        </w:rPr>
        <w:t>Consell d'Associacions de Barcelona (CAB)</w:t>
      </w:r>
      <w:r>
        <w:rPr>
          <w:rFonts w:ascii="Atkinson Hyperlegible" w:hAnsi="Atkinson Hyperlegible"/>
          <w:sz w:val="24"/>
          <w:szCs w:val="24"/>
        </w:rPr>
        <w:t xml:space="preserve"> detectem un esgotament evident del model actual de gestió. La rigidesa administrativa i els desequilibris en la distribució dels recursos estan dificultant l’impacte real de l’acció comunitària. Aquesta situació contrasta obertament amb l’esperit de l’</w:t>
      </w:r>
      <w:r>
        <w:rPr>
          <w:rFonts w:ascii="Atkinson Hyperlegible" w:hAnsi="Atkinson Hyperlegible"/>
          <w:b/>
          <w:sz w:val="24"/>
          <w:szCs w:val="24"/>
        </w:rPr>
        <w:t>article 17 de la Llei de Foment de l’Associacionisme</w:t>
      </w:r>
      <w:r>
        <w:rPr>
          <w:rFonts w:ascii="Atkinson Hyperlegible" w:hAnsi="Atkinson Hyperlegible"/>
          <w:sz w:val="24"/>
          <w:szCs w:val="24"/>
        </w:rPr>
        <w:t>, una eina que, si s’apliqués plenament, resoldria gran part d’aquestes cotilles i disfuncions.</w:t>
      </w:r>
    </w:p>
    <w:p>
      <w:pPr>
        <w:pStyle w:val="BodyText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 xml:space="preserve">A partir de les dades de la </w:t>
      </w:r>
      <w:r>
        <w:rPr>
          <w:rFonts w:ascii="Atkinson Hyperlegible" w:hAnsi="Atkinson Hyperlegible"/>
          <w:i/>
          <w:sz w:val="24"/>
          <w:szCs w:val="24"/>
        </w:rPr>
        <w:t xml:space="preserve">«Diagnosi de Subvencions de l’Ajuntament de Barcelona 2025» </w:t>
      </w:r>
      <w:r>
        <w:rPr>
          <w:rFonts w:ascii="Atkinson Hyperlegible" w:hAnsi="Atkinson Hyperlegible"/>
          <w:i w:val="false"/>
          <w:iCs w:val="false"/>
          <w:sz w:val="24"/>
          <w:szCs w:val="24"/>
        </w:rPr>
        <w:t>elaborada conjuntament amb la Fundació francesc Ferrer i Guàrdia</w:t>
      </w:r>
      <w:r>
        <w:rPr>
          <w:rFonts w:ascii="Atkinson Hyperlegible" w:hAnsi="Atkinson Hyperlegible"/>
          <w:sz w:val="24"/>
          <w:szCs w:val="24"/>
        </w:rPr>
        <w:t xml:space="preserve"> fiquem el focus en les principals problemàtiques que estan condicionant i limitant l’acció subvencional a la ciutat.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Més competència, més denegacions:</w:t>
      </w:r>
      <w:r>
        <w:rPr>
          <w:rFonts w:ascii="Atkinson Hyperlegible" w:hAnsi="Atkinson Hyperlegible"/>
          <w:sz w:val="24"/>
          <w:szCs w:val="24"/>
        </w:rPr>
        <w:t xml:space="preserve"> Malgrat l'augment de la demanda (+1,9%), les denegacions han crescut un </w:t>
      </w:r>
      <w:r>
        <w:rPr>
          <w:rFonts w:ascii="Atkinson Hyperlegible" w:hAnsi="Atkinson Hyperlegible"/>
          <w:b/>
          <w:sz w:val="24"/>
          <w:szCs w:val="24"/>
        </w:rPr>
        <w:t>33%</w:t>
      </w:r>
      <w:r>
        <w:rPr>
          <w:rFonts w:ascii="Atkinson Hyperlegible" w:hAnsi="Atkinson Hyperlegible"/>
          <w:sz w:val="24"/>
          <w:szCs w:val="24"/>
        </w:rPr>
        <w:t>. El motiu principal ja no és la manca de pressupost, sinó la dificultat per superar la nota de tall, un fet que penalitza directament les entitats amb menys recursos professionalitzats.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Ineficiència burocràtica:</w:t>
      </w:r>
      <w:r>
        <w:rPr>
          <w:rFonts w:ascii="Atkinson Hyperlegible" w:hAnsi="Atkinson Hyperlegible"/>
          <w:sz w:val="24"/>
          <w:szCs w:val="24"/>
        </w:rPr>
        <w:t xml:space="preserve"> S’han atorgat 899 subvencions d'un import igual o inferior a 1.000 €, incloent-hi una de només 125 €. Això genera una càrrega de gestió inassumible i absurda, tant per a l'administració com per a les mateixes entitats.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La doble fractura del model:</w:t>
      </w:r>
      <w:r>
        <w:rPr>
          <w:rFonts w:ascii="Atkinson Hyperlegible" w:hAnsi="Atkinson Hyperlegible"/>
          <w:sz w:val="24"/>
          <w:szCs w:val="24"/>
        </w:rPr>
        <w:t xml:space="preserve"> Es consolida un desequilibri territorial flagrant (el 75% del pressupost es concentra a l'àmbit de Ciutat) i, sobretot, una fractura de model en l'assignació de fons entre les entitats sense ànim de lucre i les empreses mercantils.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Una llei que no s’aplica:</w:t>
      </w:r>
      <w:r>
        <w:rPr>
          <w:rFonts w:ascii="Atkinson Hyperlegible" w:hAnsi="Atkinson Hyperlegible"/>
          <w:sz w:val="24"/>
          <w:szCs w:val="24"/>
        </w:rPr>
        <w:t xml:space="preserve"> Malgrat disposar d’un text legal vigent (l'esmentat article 17 de la Llei de Foment de l’Associacionisme) dissenyat per protegir el teixit associatiu, a dia d’avui l'Ajuntament continua sense aplicar-lo.</w:t>
      </w:r>
    </w:p>
    <w:p>
      <w:pPr>
        <w:pStyle w:val="BodyText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Davant d’aquesta diagnosi, des del CAB recollim una sèrie de propostes estratègiques articulades en quatre eixos clau:</w:t>
      </w:r>
    </w:p>
    <w:p>
      <w:pPr>
        <w:pStyle w:val="Heading3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1. Cap a una administració facilitadora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Establir un import mínim</w:t>
      </w:r>
      <w:r>
        <w:rPr>
          <w:rFonts w:ascii="Atkinson Hyperlegible" w:hAnsi="Atkinson Hyperlegible"/>
          <w:sz w:val="24"/>
          <w:szCs w:val="24"/>
        </w:rPr>
        <w:t xml:space="preserve"> per a les subvencions per tal d'evitar la ineficiència dels micro-ajuts.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Implementar justificacions simplificades</w:t>
      </w:r>
      <w:r>
        <w:rPr>
          <w:rFonts w:ascii="Atkinson Hyperlegible" w:hAnsi="Atkinson Hyperlegible"/>
          <w:sz w:val="24"/>
          <w:szCs w:val="24"/>
        </w:rPr>
        <w:t xml:space="preserve"> de manera generalitzada per a projectes de petit format.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Reduir el volum de reformulacions</w:t>
      </w:r>
      <w:r>
        <w:rPr>
          <w:rFonts w:ascii="Atkinson Hyperlegible" w:hAnsi="Atkinson Hyperlegible"/>
          <w:sz w:val="24"/>
          <w:szCs w:val="24"/>
        </w:rPr>
        <w:t xml:space="preserve"> (que actualment afecta el 41% dels projectes) mitjançant un servei de suport tècnic preventiu.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Crear un registre unificat</w:t>
      </w:r>
      <w:r>
        <w:rPr>
          <w:rFonts w:ascii="Atkinson Hyperlegible" w:hAnsi="Atkinson Hyperlegible"/>
          <w:sz w:val="24"/>
          <w:szCs w:val="24"/>
        </w:rPr>
        <w:t xml:space="preserve"> (evolucionant l'FGEC) per evitar requerir documentació que l'Ajuntament ja té en el seu poder.</w:t>
      </w:r>
    </w:p>
    <w:p>
      <w:pPr>
        <w:pStyle w:val="Heading3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2. Prioritzar el teixit comunitari i la proximitat</w:t>
      </w:r>
    </w:p>
    <w:p>
      <w:pPr>
        <w:pStyle w:val="BlockQuotation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La fractura del model. Desproporció entre import i excel·lència.</w:t>
      </w:r>
      <w:r>
        <w:rPr>
          <w:rFonts w:ascii="Atkinson Hyperlegible" w:hAnsi="Atkinson Hyperlegible"/>
          <w:sz w:val="24"/>
          <w:szCs w:val="24"/>
        </w:rPr>
        <w:t xml:space="preserve"> Les dades mostren una paradoxa preocupant: mentre les empreses mercantils concentren els imports més alts, l'excel·lència tècnica i social (les millors puntuacions) recau exclusivament en les associacions.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L'exemple de la desproporció:</w:t>
      </w:r>
      <w:r>
        <w:rPr>
          <w:rFonts w:ascii="Atkinson Hyperlegible" w:hAnsi="Atkinson Hyperlegible"/>
          <w:sz w:val="24"/>
          <w:szCs w:val="24"/>
        </w:rPr>
        <w:t xml:space="preserve"> El projecte amb més finançament de tota la convocatòria (</w:t>
      </w:r>
      <w:r>
        <w:rPr>
          <w:rFonts w:ascii="Atkinson Hyperlegible" w:hAnsi="Atkinson Hyperlegible"/>
          <w:i/>
          <w:sz w:val="24"/>
          <w:szCs w:val="24"/>
        </w:rPr>
        <w:t>Extreme Barcelona</w:t>
      </w:r>
      <w:r>
        <w:rPr>
          <w:rFonts w:ascii="Atkinson Hyperlegible" w:hAnsi="Atkinson Hyperlegible"/>
          <w:sz w:val="24"/>
          <w:szCs w:val="24"/>
        </w:rPr>
        <w:t xml:space="preserve">, gestionat per l'empresa Seven Marketing) rep </w:t>
      </w:r>
      <w:r>
        <w:rPr>
          <w:rFonts w:ascii="Atkinson Hyperlegible" w:hAnsi="Atkinson Hyperlegible"/>
          <w:b/>
          <w:sz w:val="24"/>
          <w:szCs w:val="24"/>
        </w:rPr>
        <w:t>350.000 €</w:t>
      </w:r>
      <w:r>
        <w:rPr>
          <w:rFonts w:ascii="Atkinson Hyperlegible" w:hAnsi="Atkinson Hyperlegible"/>
          <w:sz w:val="24"/>
          <w:szCs w:val="24"/>
        </w:rPr>
        <w:t xml:space="preserve"> amb una nota de 7,6. En contrast, els projectes amb la puntuació màxima de la ciutat (9,6), com l'</w:t>
      </w:r>
      <w:r>
        <w:rPr>
          <w:rFonts w:ascii="Atkinson Hyperlegible" w:hAnsi="Atkinson Hyperlegible"/>
          <w:i/>
          <w:sz w:val="24"/>
          <w:szCs w:val="24"/>
        </w:rPr>
        <w:t>Espai Maternoinfantil de l'Eixample</w:t>
      </w:r>
      <w:r>
        <w:rPr>
          <w:rFonts w:ascii="Atkinson Hyperlegible" w:hAnsi="Atkinson Hyperlegible"/>
          <w:sz w:val="24"/>
          <w:szCs w:val="24"/>
        </w:rPr>
        <w:t xml:space="preserve"> (INTRESS) o l'</w:t>
      </w:r>
      <w:r>
        <w:rPr>
          <w:rFonts w:ascii="Atkinson Hyperlegible" w:hAnsi="Atkinson Hyperlegible"/>
          <w:i/>
          <w:sz w:val="24"/>
          <w:szCs w:val="24"/>
        </w:rPr>
        <w:t>Espai Superacció</w:t>
      </w:r>
      <w:r>
        <w:rPr>
          <w:rFonts w:ascii="Atkinson Hyperlegible" w:hAnsi="Atkinson Hyperlegible"/>
          <w:sz w:val="24"/>
          <w:szCs w:val="24"/>
        </w:rPr>
        <w:t>, reben imports radicalment inferiors (41.000 € i 25.000 € respectivament).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Concentració de recursos:</w:t>
      </w:r>
      <w:r>
        <w:rPr>
          <w:rFonts w:ascii="Atkinson Hyperlegible" w:hAnsi="Atkinson Hyperlegible"/>
          <w:sz w:val="24"/>
          <w:szCs w:val="24"/>
        </w:rPr>
        <w:t xml:space="preserve"> Les empreses mercantils (només el 3,1% dels projectes) capten el </w:t>
      </w:r>
      <w:r>
        <w:rPr>
          <w:rFonts w:ascii="Atkinson Hyperlegible" w:hAnsi="Atkinson Hyperlegible"/>
          <w:b/>
          <w:sz w:val="24"/>
          <w:szCs w:val="24"/>
        </w:rPr>
        <w:t>6,7% dels recursos totals</w:t>
      </w:r>
      <w:r>
        <w:rPr>
          <w:rFonts w:ascii="Atkinson Hyperlegible" w:hAnsi="Atkinson Hyperlegible"/>
          <w:sz w:val="24"/>
          <w:szCs w:val="24"/>
        </w:rPr>
        <w:t>. Gairebé la meitat (47,9%) de l'import de les deu subvencions més grans va a parar a empreses privatitzades, mentre que les 10 millors puntuacions són domini exclusiu del teixit associatiu.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Separar convocatòries:</w:t>
      </w:r>
      <w:r>
        <w:rPr>
          <w:rFonts w:ascii="Atkinson Hyperlegible" w:hAnsi="Atkinson Hyperlegible"/>
          <w:sz w:val="24"/>
          <w:szCs w:val="24"/>
        </w:rPr>
        <w:t xml:space="preserve"> Crear línies específiques per a grans esdeveniments (sovint de caràcter mercantil) i línies de concurrència no competitiva o protegides per a entitats de petit format i base comunitària.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Augmentar el pes dels districtes:</w:t>
      </w:r>
      <w:r>
        <w:rPr>
          <w:rFonts w:ascii="Atkinson Hyperlegible" w:hAnsi="Atkinson Hyperlegible"/>
          <w:sz w:val="24"/>
          <w:szCs w:val="24"/>
        </w:rPr>
        <w:t xml:space="preserve"> Revertir la tendència centralitzadora actual per enfortir la cohesió social directament des dels barris.</w:t>
      </w:r>
    </w:p>
    <w:p>
      <w:pPr>
        <w:pStyle w:val="Heading3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3. Transparència i governança compartida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Facilitar un informe de valoració personalitzat</w:t>
      </w:r>
      <w:r>
        <w:rPr>
          <w:rFonts w:ascii="Atkinson Hyperlegible" w:hAnsi="Atkinson Hyperlegible"/>
          <w:sz w:val="24"/>
          <w:szCs w:val="24"/>
        </w:rPr>
        <w:t xml:space="preserve"> a cada entitat amb el desglossament detallat per criteris.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Publicar la fórmula matemàtica</w:t>
      </w:r>
      <w:r>
        <w:rPr>
          <w:rFonts w:ascii="Atkinson Hyperlegible" w:hAnsi="Atkinson Hyperlegible"/>
          <w:sz w:val="24"/>
          <w:szCs w:val="24"/>
        </w:rPr>
        <w:t xml:space="preserve"> d’assignació d'imports per eliminar qualsevol ombra d'arbitrarietat.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Validació participativa</w:t>
      </w:r>
      <w:r>
        <w:rPr>
          <w:rFonts w:ascii="Atkinson Hyperlegible" w:hAnsi="Atkinson Hyperlegible"/>
          <w:sz w:val="24"/>
          <w:szCs w:val="24"/>
        </w:rPr>
        <w:t xml:space="preserve"> i consensuada amb el sector de qualsevol canvi en el Pla Estratègic de Subvencions (PES).</w:t>
      </w:r>
    </w:p>
    <w:p>
      <w:pPr>
        <w:pStyle w:val="Heading3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4. Nou marc normatiu i sostenibilitat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Implementar la plurianualitat real</w:t>
      </w:r>
      <w:r>
        <w:rPr>
          <w:rFonts w:ascii="Atkinson Hyperlegible" w:hAnsi="Atkinson Hyperlegible"/>
          <w:sz w:val="24"/>
          <w:szCs w:val="24"/>
        </w:rPr>
        <w:t xml:space="preserve"> per a projectes consolidats (amb horitzons de fins a 3 anys) per donar estabilitat.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Reconèixer el voluntariat</w:t>
      </w:r>
      <w:r>
        <w:rPr>
          <w:rFonts w:ascii="Atkinson Hyperlegible" w:hAnsi="Atkinson Hyperlegible"/>
          <w:sz w:val="24"/>
          <w:szCs w:val="24"/>
        </w:rPr>
        <w:t xml:space="preserve"> com a part cofinançadora dins de la justificació econòmica.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Permetre bestretes del 100%</w:t>
      </w:r>
      <w:r>
        <w:rPr>
          <w:rFonts w:ascii="Atkinson Hyperlegible" w:hAnsi="Atkinson Hyperlegible"/>
          <w:sz w:val="24"/>
          <w:szCs w:val="24"/>
        </w:rPr>
        <w:t xml:space="preserve"> de l'import atorgat i augmentar el límit d'imputació de despeses indirectes fins al 25%.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0" w:leader="none"/>
        </w:tabs>
        <w:ind w:hanging="283" w:left="709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b/>
          <w:sz w:val="24"/>
          <w:szCs w:val="24"/>
        </w:rPr>
        <w:t>Impulsar una Llei de Subvencions Catalana</w:t>
      </w:r>
      <w:r>
        <w:rPr>
          <w:rFonts w:ascii="Atkinson Hyperlegible" w:hAnsi="Atkinson Hyperlegible"/>
          <w:sz w:val="24"/>
          <w:szCs w:val="24"/>
        </w:rPr>
        <w:t xml:space="preserve"> que s’adapti de manera específica a la realitat i naturalesa de l’associacionisme.</w:t>
      </w:r>
    </w:p>
    <w:p>
      <w:pPr>
        <w:pStyle w:val="BodyText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  <w:t>Finalment, les dades exemplifiquen de forma més clara la fractura del model: d'una banda, els projectes amb més finançament (on destaquen les SL i SA amb notes discretes) i, de l'altra, els projectes líders en qualitat (100% associatius).</w:t>
      </w:r>
    </w:p>
    <w:p>
      <w:pPr>
        <w:pStyle w:val="BodyText"/>
        <w:jc w:val="both"/>
        <w:rPr/>
      </w:pPr>
      <w:r>
        <w:rPr>
          <w:rStyle w:val="Strong"/>
          <w:rFonts w:ascii="Atkinson Hyperlegible" w:hAnsi="Atkinson Hyperlegible"/>
          <w:b w:val="false"/>
          <w:bCs w:val="false"/>
          <w:sz w:val="24"/>
          <w:szCs w:val="24"/>
        </w:rPr>
        <w:t>Els 10 projectes amb més import (Destaquen les empreses amb notes mitjanes)</w:t>
      </w:r>
    </w:p>
    <w:tbl>
      <w:tblPr>
        <w:tblW w:w="9638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529"/>
        <w:gridCol w:w="2716"/>
        <w:gridCol w:w="1689"/>
        <w:gridCol w:w="1058"/>
        <w:gridCol w:w="646"/>
      </w:tblGrid>
      <w:tr>
        <w:trPr/>
        <w:tc>
          <w:tcPr>
            <w:tcW w:w="3529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Sol·licitant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Projecte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Forma Jurídica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Import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Nota</w:t>
            </w:r>
          </w:p>
        </w:tc>
      </w:tr>
      <w:tr>
        <w:trPr/>
        <w:tc>
          <w:tcPr>
            <w:tcW w:w="352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SEVEN MARKETING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EXTREME BARCELONA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Empresa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350.000 €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7,6</w:t>
            </w:r>
          </w:p>
        </w:tc>
      </w:tr>
      <w:tr>
        <w:trPr/>
        <w:tc>
          <w:tcPr>
            <w:tcW w:w="3529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ASSOC. COMISSIÓ ST. ANDREU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Festa Major / Reis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103.800 €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9,3</w:t>
            </w:r>
          </w:p>
        </w:tc>
      </w:tr>
      <w:tr>
        <w:trPr/>
        <w:tc>
          <w:tcPr>
            <w:tcW w:w="352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RPM RACING, SL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48 TRIAL INDOOR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Empresa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90.000 €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7,6</w:t>
            </w:r>
          </w:p>
        </w:tc>
      </w:tr>
      <w:tr>
        <w:trPr/>
        <w:tc>
          <w:tcPr>
            <w:tcW w:w="3529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GRACIA GIMNASTIC CLUB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Promoció gimnàstica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90.000 €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7,1</w:t>
            </w:r>
          </w:p>
        </w:tc>
      </w:tr>
      <w:tr>
        <w:trPr/>
        <w:tc>
          <w:tcPr>
            <w:tcW w:w="352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IBERCAMERA SA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Temporada 2025</w:t>
            </w:r>
          </w:p>
        </w:tc>
        <w:tc>
          <w:tcPr>
            <w:tcW w:w="1689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Empresa</w:t>
            </w:r>
          </w:p>
        </w:tc>
        <w:tc>
          <w:tcPr>
            <w:tcW w:w="1058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70.000 €</w:t>
            </w:r>
          </w:p>
        </w:tc>
        <w:tc>
          <w:tcPr>
            <w:tcW w:w="646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8,1</w:t>
            </w:r>
          </w:p>
        </w:tc>
      </w:tr>
    </w:tbl>
    <w:p>
      <w:pPr>
        <w:pStyle w:val="BodyText"/>
        <w:rPr>
          <w:rStyle w:val="Strong"/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</w:r>
    </w:p>
    <w:p>
      <w:pPr>
        <w:pStyle w:val="BodyText"/>
        <w:rPr/>
      </w:pPr>
      <w:r>
        <w:rPr>
          <w:rStyle w:val="Strong"/>
          <w:rFonts w:ascii="Atkinson Hyperlegible" w:hAnsi="Atkinson Hyperlegible"/>
          <w:b w:val="false"/>
          <w:bCs w:val="false"/>
          <w:sz w:val="24"/>
          <w:szCs w:val="24"/>
        </w:rPr>
        <w:t>Els 10 projectes amb millor puntuació (Excel·lència 100% associativa)</w:t>
      </w:r>
    </w:p>
    <w:tbl>
      <w:tblPr>
        <w:tblW w:w="929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401"/>
        <w:gridCol w:w="2592"/>
        <w:gridCol w:w="1711"/>
        <w:gridCol w:w="600"/>
        <w:gridCol w:w="991"/>
      </w:tblGrid>
      <w:tr>
        <w:trPr/>
        <w:tc>
          <w:tcPr>
            <w:tcW w:w="3401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Sol·licitant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Projecte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Forma Jurídica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Nota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Heading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Import</w:t>
            </w:r>
          </w:p>
        </w:tc>
      </w:tr>
      <w:tr>
        <w:trPr/>
        <w:tc>
          <w:tcPr>
            <w:tcW w:w="3401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INTRESS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Maternoinfantil Eixample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9,6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41.000 €</w:t>
            </w:r>
          </w:p>
        </w:tc>
      </w:tr>
      <w:tr>
        <w:trPr/>
        <w:tc>
          <w:tcPr>
            <w:tcW w:w="3401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ASSOC. SUPERACCIO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Centre Obert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9,6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25.000 €</w:t>
            </w:r>
          </w:p>
        </w:tc>
      </w:tr>
      <w:tr>
        <w:trPr/>
        <w:tc>
          <w:tcPr>
            <w:tcW w:w="3401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FUNDACIÓ TOT RAVAL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Jovent Migrat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Fundació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9,6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11.000 €</w:t>
            </w:r>
          </w:p>
        </w:tc>
      </w:tr>
      <w:tr>
        <w:trPr/>
        <w:tc>
          <w:tcPr>
            <w:tcW w:w="3401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HELIA ASSOCIACIÓ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Barcelona-Dona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9,6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7.000 €</w:t>
            </w:r>
          </w:p>
        </w:tc>
      </w:tr>
      <w:tr>
        <w:trPr/>
        <w:tc>
          <w:tcPr>
            <w:tcW w:w="3401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CASTELLERS VILA GRÀCIA</w:t>
            </w:r>
          </w:p>
        </w:tc>
        <w:tc>
          <w:tcPr>
            <w:tcW w:w="2592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Punt Lila</w:t>
            </w:r>
          </w:p>
        </w:tc>
        <w:tc>
          <w:tcPr>
            <w:tcW w:w="171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Associació</w:t>
            </w:r>
          </w:p>
        </w:tc>
        <w:tc>
          <w:tcPr>
            <w:tcW w:w="600" w:type="dxa"/>
            <w:tcBorders/>
            <w:vAlign w:val="center"/>
          </w:tcPr>
          <w:p>
            <w:pPr>
              <w:pStyle w:val="TableContents"/>
              <w:jc w:val="left"/>
              <w:rPr/>
            </w:pPr>
            <w:r>
              <w:rPr>
                <w:rStyle w:val="Strong"/>
                <w:rFonts w:ascii="Atkinson Hyperlegible" w:hAnsi="Atkinson Hyperlegible"/>
                <w:sz w:val="20"/>
                <w:szCs w:val="20"/>
              </w:rPr>
              <w:t>9,4</w:t>
            </w:r>
          </w:p>
        </w:tc>
        <w:tc>
          <w:tcPr>
            <w:tcW w:w="991" w:type="dxa"/>
            <w:tcBorders/>
            <w:vAlign w:val="center"/>
          </w:tcPr>
          <w:p>
            <w:pPr>
              <w:pStyle w:val="TableContents"/>
              <w:jc w:val="left"/>
              <w:rPr>
                <w:rFonts w:ascii="Atkinson Hyperlegible" w:hAnsi="Atkinson Hyperlegible"/>
                <w:sz w:val="20"/>
                <w:szCs w:val="20"/>
              </w:rPr>
            </w:pPr>
            <w:r>
              <w:rPr>
                <w:rFonts w:ascii="Atkinson Hyperlegible" w:hAnsi="Atkinson Hyperlegible"/>
                <w:sz w:val="20"/>
                <w:szCs w:val="20"/>
              </w:rPr>
              <w:t>2.600 €</w:t>
            </w:r>
          </w:p>
        </w:tc>
      </w:tr>
    </w:tbl>
    <w:p>
      <w:pPr>
        <w:pStyle w:val="BodyText"/>
        <w:bidi w:val="0"/>
        <w:spacing w:before="0" w:after="140"/>
        <w:ind w:hanging="0" w:left="0" w:right="0"/>
        <w:jc w:val="both"/>
        <w:rPr>
          <w:rFonts w:ascii="Atkinson Hyperlegible" w:hAnsi="Atkinson Hyperlegible"/>
          <w:sz w:val="24"/>
          <w:szCs w:val="24"/>
        </w:rPr>
      </w:pPr>
      <w:r>
        <w:rPr>
          <w:rFonts w:ascii="Atkinson Hyperlegible" w:hAnsi="Atkinson Hyperlegible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134" w:top="1417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tkinson Hyperlegible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shape_0" adj="10800" fillcolor="silver" stroked="f" o:allowincell="f" style="position:absolute;margin-left:0.15pt;margin-top:296.6pt;width:481.6pt;height:121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esborrany" style="font-family:&quot;Liberation Sans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pict>
        <v:shape id="PowerPlusWaterMarkObject" o:spid="shape_0" adj="10800" fillcolor="silver" stroked="f" o:allowincell="f" style="position:absolute;margin-left:0.15pt;margin-top:296.6pt;width:481.6pt;height:121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esborrany" style="font-family:&quot;Liberation Sans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ca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ca-E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oto Serif CJK SC" w:cs="Noto Sans Devanagari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paragraph" w:styleId="Heading4">
    <w:name w:val="Heading 4"/>
    <w:basedOn w:val="Heading"/>
    <w:next w:val="BodyText"/>
    <w:qFormat/>
    <w:pPr>
      <w:spacing w:before="120" w:after="120"/>
      <w:outlineLvl w:val="3"/>
    </w:pPr>
    <w:rPr>
      <w:rFonts w:ascii="Liberation Serif" w:hAnsi="Liberation Serif" w:eastAsia="Noto Serif CJK SC" w:cs="Noto Sans Devanagari"/>
      <w:b/>
      <w:bCs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ndex">
    <w:name w:val="Índex"/>
    <w:basedOn w:val="Normal"/>
    <w:qFormat/>
    <w:pPr>
      <w:suppressLineNumbers/>
    </w:pPr>
    <w:rPr>
      <w:rFonts w:cs="Noto Sans Devanagari"/>
    </w:rPr>
  </w:style>
  <w:style w:type="paragraph" w:styleId="Capaleraipeudepgina">
    <w:name w:val="Capçalera i peu de pà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Capaleraipeudepgina"/>
    <w:pPr>
      <w:suppressLineNumbers/>
    </w:pPr>
    <w:rPr/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BlockQuotation">
    <w:name w:val="Block Quotation"/>
    <w:basedOn w:val="Normal"/>
    <w:qFormat/>
    <w:pPr>
      <w:spacing w:before="0" w:after="283"/>
      <w:ind w:hanging="0" w:left="567" w:right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</TotalTime>
  <Application>LibreOffice/24.2.7.2$Linux_X86_64 LibreOffice_project/420$Build-2</Application>
  <AppVersion>15.0000</AppVersion>
  <Pages>3</Pages>
  <Words>888</Words>
  <Characters>5040</Characters>
  <CharactersWithSpaces>5818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2026-06-16T14:27:47Z</dcterms:created>
  <dc:creator/>
  <dc:description/>
  <dc:language>ca-ES</dc:language>
  <cp:lastModifiedBy/>
  <dcterms:modified xsi:type="dcterms:W3CDTF">2026-06-30T16:38:53Z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